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E6" w:rsidRPr="000A405D" w:rsidRDefault="00DD0AE6" w:rsidP="00DD0AE6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觀課紀錄表</w:t>
      </w:r>
    </w:p>
    <w:p w:rsidR="00DD0AE6" w:rsidRPr="000727AB" w:rsidRDefault="00DD0AE6" w:rsidP="00DD0AE6">
      <w:pPr>
        <w:snapToGrid w:val="0"/>
        <w:ind w:right="281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觀課時間：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 </w:t>
      </w:r>
      <w:r>
        <w:rPr>
          <w:rFonts w:ascii="微軟正黑體" w:eastAsia="微軟正黑體" w:hAnsi="微軟正黑體" w:cs="Times New Roman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Cs w:val="24"/>
        </w:rPr>
        <w:t>年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Cs w:val="24"/>
        </w:rPr>
        <w:t>月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Cs w:val="24"/>
        </w:rPr>
        <w:t>日</w:t>
      </w:r>
      <w:bookmarkStart w:id="0" w:name="_GoBack"/>
      <w:bookmarkEnd w:id="0"/>
      <w:r w:rsidRPr="000727AB">
        <w:rPr>
          <w:rFonts w:ascii="微軟正黑體" w:eastAsia="微軟正黑體" w:hAnsi="微軟正黑體" w:cs="Times New Roman"/>
          <w:szCs w:val="24"/>
        </w:rPr>
        <w:t>議課時間：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 </w:t>
      </w:r>
      <w:r>
        <w:rPr>
          <w:rFonts w:ascii="微軟正黑體" w:eastAsia="微軟正黑體" w:hAnsi="微軟正黑體" w:cs="Times New Roman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Cs w:val="24"/>
        </w:rPr>
        <w:t>年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Cs w:val="24"/>
        </w:rPr>
        <w:t>月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Cs w:val="24"/>
        </w:rPr>
        <w:t>日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 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DD0AE6" w:rsidRPr="000727AB" w:rsidTr="00B67E59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D0AE6" w:rsidRPr="000727AB" w:rsidRDefault="00DD0AE6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D0AE6" w:rsidRPr="000727AB" w:rsidRDefault="00DD0AE6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學生行為表現記錄</w:t>
            </w:r>
          </w:p>
        </w:tc>
      </w:tr>
      <w:tr w:rsidR="00DD0AE6" w:rsidRPr="000727AB" w:rsidTr="00B67E5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 xml:space="preserve">(    </w:t>
            </w: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組或人</w:t>
            </w:r>
            <w:r w:rsidRPr="000727AB">
              <w:rPr>
                <w:rFonts w:ascii="微軟正黑體" w:eastAsia="微軟正黑體" w:hAnsi="微軟正黑體"/>
                <w:szCs w:val="24"/>
              </w:rPr>
              <w:t xml:space="preserve">   )</w:t>
            </w:r>
          </w:p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  <w:shd w:val="clear" w:color="auto" w:fill="D9D9D9"/>
              </w:rPr>
              <w:t>學習過程</w:t>
            </w: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：</w:t>
            </w:r>
          </w:p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聆聽、回答、討論、操作、書寫的表現</w:t>
            </w:r>
          </w:p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  <w:shd w:val="clear" w:color="auto" w:fill="D9D9D9"/>
              </w:rPr>
              <w:t>學習表現</w:t>
            </w: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AE6" w:rsidRPr="000727AB" w:rsidRDefault="00DD0AE6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Cs w:val="24"/>
              </w:rPr>
              <w:t>1</w:t>
            </w:r>
          </w:p>
        </w:tc>
      </w:tr>
      <w:tr w:rsidR="00DD0AE6" w:rsidRPr="000727AB" w:rsidTr="00B67E5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0AE6" w:rsidRPr="000727AB" w:rsidRDefault="00DD0AE6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DD0AE6" w:rsidRPr="000727AB" w:rsidRDefault="00DD0AE6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Cs w:val="24"/>
              </w:rPr>
              <w:t>2</w:t>
            </w:r>
          </w:p>
        </w:tc>
      </w:tr>
      <w:tr w:rsidR="00DD0AE6" w:rsidRPr="000727AB" w:rsidTr="00B67E5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0AE6" w:rsidRPr="000727AB" w:rsidRDefault="00DD0AE6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0AE6" w:rsidRPr="000727AB" w:rsidRDefault="00DD0AE6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Cs w:val="24"/>
              </w:rPr>
              <w:t>3</w:t>
            </w:r>
          </w:p>
        </w:tc>
      </w:tr>
      <w:tr w:rsidR="00DD0AE6" w:rsidRPr="000727AB" w:rsidTr="00B67E5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0AE6" w:rsidRPr="000727AB" w:rsidRDefault="00DD0AE6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DD0AE6" w:rsidRPr="000727AB" w:rsidRDefault="00DD0AE6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Cs w:val="24"/>
              </w:rPr>
              <w:t>4</w:t>
            </w:r>
          </w:p>
          <w:p w:rsidR="00DD0AE6" w:rsidRPr="000727AB" w:rsidRDefault="00DD0AE6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Cs w:val="24"/>
              </w:rPr>
              <w:t>5</w:t>
            </w:r>
          </w:p>
        </w:tc>
      </w:tr>
      <w:tr w:rsidR="00DD0AE6" w:rsidRPr="000727AB" w:rsidTr="00B67E5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0AE6" w:rsidRPr="000727AB" w:rsidRDefault="00DD0AE6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0AE6" w:rsidRPr="000727AB" w:rsidTr="00B67E5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0AE6" w:rsidRPr="000727AB" w:rsidRDefault="00DD0AE6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0AE6" w:rsidRPr="000727AB" w:rsidTr="00B67E5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教師議課</w:t>
            </w:r>
          </w:p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教學省思</w:t>
            </w:r>
          </w:p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0AE6" w:rsidRPr="000727AB" w:rsidRDefault="00DD0AE6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0AE6" w:rsidRPr="000727AB" w:rsidTr="00B67E5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0AE6" w:rsidRPr="000727AB" w:rsidRDefault="00DD0AE6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0AE6" w:rsidRPr="000727AB" w:rsidRDefault="00DD0AE6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D0AE6" w:rsidRPr="00014BB9" w:rsidRDefault="00DD0AE6" w:rsidP="00DD0AE6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444A28" w:rsidRPr="00DD0AE6" w:rsidRDefault="00444A28">
      <w:pPr>
        <w:rPr>
          <w:rFonts w:hint="eastAsia"/>
        </w:rPr>
      </w:pPr>
    </w:p>
    <w:sectPr w:rsidR="00444A28" w:rsidRPr="00DD0AE6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3654F4"/>
    <w:rsid w:val="00444A28"/>
    <w:rsid w:val="004515B9"/>
    <w:rsid w:val="00667AB3"/>
    <w:rsid w:val="007312D4"/>
    <w:rsid w:val="00841295"/>
    <w:rsid w:val="00AC1D48"/>
    <w:rsid w:val="00B13478"/>
    <w:rsid w:val="00DD0AE6"/>
    <w:rsid w:val="00E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D6F0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3</cp:revision>
  <dcterms:created xsi:type="dcterms:W3CDTF">2022-09-18T15:53:00Z</dcterms:created>
  <dcterms:modified xsi:type="dcterms:W3CDTF">2022-09-18T15:54:00Z</dcterms:modified>
</cp:coreProperties>
</file>